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f9408e6a1439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54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40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329" w:space="140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JOSVANDES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HUTAURUK.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SINCILIDE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HERTUTI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SIPANGKAR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TRINIDAD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DOLOK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FEBRIYANA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SIAMBATON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DELEA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VINANSYAH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ASTUTI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03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54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40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329" w:space="140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SELISIH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251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0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54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40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329" w:space="140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NATHANAEL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SISCUS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EXTIPA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HOTMANDO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TAKKAS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ZENENDI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SUGIARTI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LUTFIYAH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SUNDARI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WIROTAMA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67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54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40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329" w:space="140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NOVERLIANUS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AMEYLIA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FRIDEYANTI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LAOLI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ZAMILI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ROSMALINDA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VERONICA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SIMARGOLANG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ALHAFIZY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HIHSAN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TIRAHMAINI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58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fa424d9a0d8d4ad1" /></Relationships>
</file>

<file path=docProps/app.xml>
</file>

<file path=docProps/core.xml>
</file>